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津工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信软件</w:t>
      </w:r>
      <w:r>
        <w:rPr>
          <w:rFonts w:hint="eastAsia" w:ascii="仿宋_GB2312" w:hAnsi="仿宋_GB2312" w:eastAsia="仿宋_GB2312" w:cs="仿宋_GB2312"/>
          <w:sz w:val="32"/>
          <w:szCs w:val="32"/>
        </w:rPr>
        <w:t>〔</w:t>
      </w:r>
      <w:r>
        <w:rPr>
          <w:rFonts w:hint="default" w:ascii="Times New Roman" w:hAnsi="Times New Roman" w:eastAsia="黑体" w:cs="Times New Roman"/>
          <w:sz w:val="32"/>
          <w:szCs w:val="32"/>
        </w:rPr>
        <w:t>201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黑体" w:cs="Times New Roman"/>
          <w:sz w:val="32"/>
          <w:szCs w:val="32"/>
        </w:rPr>
        <w:t>号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  <w:t>1</w:t>
      </w:r>
    </w:p>
    <w:p>
      <w:pPr>
        <w:spacing w:line="300" w:lineRule="auto"/>
        <w:rPr>
          <w:rFonts w:ascii="黑体" w:hAnsi="黑体" w:eastAsia="黑体"/>
          <w:b/>
          <w:kern w:val="36"/>
          <w:sz w:val="44"/>
          <w:szCs w:val="44"/>
        </w:rPr>
      </w:pPr>
    </w:p>
    <w:p>
      <w:pPr>
        <w:spacing w:line="300" w:lineRule="auto"/>
        <w:rPr>
          <w:rFonts w:ascii="黑体" w:hAnsi="黑体" w:eastAsia="黑体"/>
          <w:b/>
          <w:kern w:val="36"/>
          <w:sz w:val="44"/>
          <w:szCs w:val="44"/>
        </w:rPr>
      </w:pPr>
    </w:p>
    <w:p>
      <w:pPr>
        <w:spacing w:line="300" w:lineRule="auto"/>
        <w:rPr>
          <w:rFonts w:ascii="黑体" w:hAnsi="黑体" w:eastAsia="黑体"/>
          <w:b/>
          <w:kern w:val="36"/>
          <w:sz w:val="44"/>
          <w:szCs w:val="44"/>
        </w:rPr>
      </w:pPr>
    </w:p>
    <w:p>
      <w:pPr>
        <w:spacing w:line="300" w:lineRule="auto"/>
        <w:jc w:val="center"/>
        <w:rPr>
          <w:rFonts w:hint="eastAsia" w:ascii="方正小标宋简体" w:hAnsi="方正小标宋简体" w:eastAsia="方正小标宋简体" w:cs="方正小标宋简体"/>
          <w:sz w:val="28"/>
        </w:rPr>
      </w:pP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44"/>
        </w:rPr>
        <w:t>工业互联网</w:t>
      </w:r>
      <w:r>
        <w:rPr>
          <w:rFonts w:hint="default" w:ascii="Times New Roman" w:hAnsi="Times New Roman" w:eastAsia="方正小标宋简体" w:cs="Times New Roman"/>
          <w:b/>
          <w:kern w:val="36"/>
          <w:sz w:val="44"/>
          <w:szCs w:val="44"/>
        </w:rPr>
        <w:t>APP优</w:t>
      </w: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44"/>
        </w:rPr>
        <w:t>秀解决方案申报书</w:t>
      </w:r>
    </w:p>
    <w:p>
      <w:pPr>
        <w:spacing w:line="300" w:lineRule="auto"/>
        <w:rPr>
          <w:rFonts w:ascii="仿宋" w:hAnsi="仿宋" w:eastAsia="仿宋"/>
          <w:sz w:val="28"/>
        </w:rPr>
      </w:pPr>
    </w:p>
    <w:p>
      <w:pPr>
        <w:spacing w:line="300" w:lineRule="auto"/>
        <w:rPr>
          <w:rFonts w:ascii="仿宋" w:hAnsi="仿宋" w:eastAsia="仿宋"/>
          <w:sz w:val="28"/>
        </w:rPr>
      </w:pPr>
    </w:p>
    <w:p>
      <w:pPr>
        <w:spacing w:line="300" w:lineRule="auto"/>
        <w:rPr>
          <w:rFonts w:ascii="仿宋" w:hAnsi="仿宋" w:eastAsia="仿宋"/>
          <w:sz w:val="28"/>
        </w:rPr>
      </w:pPr>
    </w:p>
    <w:p>
      <w:pPr>
        <w:spacing w:line="300" w:lineRule="auto"/>
        <w:rPr>
          <w:rFonts w:ascii="仿宋" w:hAnsi="仿宋" w:eastAsia="仿宋"/>
          <w:sz w:val="28"/>
        </w:rPr>
      </w:pPr>
    </w:p>
    <w:p>
      <w:pPr>
        <w:spacing w:line="300" w:lineRule="auto"/>
        <w:ind w:left="424" w:leftChars="202" w:firstLine="720" w:firstLineChars="200"/>
        <w:jc w:val="left"/>
        <w:rPr>
          <w:rFonts w:ascii="仿宋" w:hAnsi="仿宋" w:eastAsia="仿宋"/>
          <w:sz w:val="36"/>
          <w:szCs w:val="36"/>
        </w:rPr>
      </w:pPr>
    </w:p>
    <w:p>
      <w:pPr>
        <w:spacing w:line="300" w:lineRule="auto"/>
        <w:ind w:firstLine="964" w:firstLineChars="3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申报单位: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                            (盖章) </w:t>
      </w:r>
    </w:p>
    <w:p>
      <w:pPr>
        <w:spacing w:line="300" w:lineRule="auto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br w:type="textWrapping"/>
      </w:r>
    </w:p>
    <w:p>
      <w:pPr>
        <w:tabs>
          <w:tab w:val="left" w:pos="8400"/>
        </w:tabs>
        <w:spacing w:line="300" w:lineRule="auto"/>
        <w:rPr>
          <w:rFonts w:ascii="仿宋" w:hAnsi="仿宋" w:eastAsia="仿宋"/>
          <w:b/>
          <w:bCs/>
          <w:sz w:val="32"/>
          <w:szCs w:val="32"/>
          <w:u w:val="single"/>
        </w:rPr>
      </w:pPr>
    </w:p>
    <w:p>
      <w:pPr>
        <w:tabs>
          <w:tab w:val="left" w:pos="8400"/>
        </w:tabs>
        <w:spacing w:line="300" w:lineRule="auto"/>
        <w:rPr>
          <w:rFonts w:ascii="仿宋" w:hAnsi="仿宋" w:eastAsia="仿宋"/>
          <w:b/>
          <w:bCs/>
          <w:sz w:val="32"/>
          <w:szCs w:val="32"/>
          <w:u w:val="single"/>
        </w:rPr>
      </w:pPr>
    </w:p>
    <w:p>
      <w:pPr>
        <w:tabs>
          <w:tab w:val="left" w:pos="8400"/>
        </w:tabs>
        <w:spacing w:line="300" w:lineRule="auto"/>
        <w:rPr>
          <w:rFonts w:ascii="仿宋" w:hAnsi="仿宋" w:eastAsia="仿宋"/>
          <w:b/>
          <w:bCs/>
          <w:sz w:val="32"/>
          <w:szCs w:val="32"/>
          <w:u w:val="single"/>
        </w:rPr>
      </w:pPr>
    </w:p>
    <w:p>
      <w:pPr>
        <w:spacing w:line="300" w:lineRule="auto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申报日期: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年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月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日</w:t>
      </w:r>
    </w:p>
    <w:p>
      <w:pPr>
        <w:spacing w:line="300" w:lineRule="auto"/>
        <w:rPr>
          <w:rFonts w:ascii="仿宋" w:hAnsi="仿宋" w:eastAsia="仿宋"/>
          <w:b/>
          <w:sz w:val="32"/>
          <w:szCs w:val="32"/>
        </w:rPr>
      </w:pPr>
    </w:p>
    <w:p>
      <w:pPr>
        <w:spacing w:line="300" w:lineRule="auto"/>
        <w:rPr>
          <w:rFonts w:ascii="仿宋" w:hAnsi="仿宋" w:eastAsia="仿宋"/>
          <w:b/>
          <w:sz w:val="32"/>
          <w:szCs w:val="32"/>
        </w:rPr>
      </w:pPr>
    </w:p>
    <w:p>
      <w:pPr>
        <w:spacing w:after="156" w:afterLines="50" w:line="440" w:lineRule="exact"/>
        <w:jc w:val="center"/>
        <w:rPr>
          <w:rFonts w:ascii="黑体" w:hAnsi="黑体" w:eastAsia="黑体"/>
          <w:b/>
          <w:kern w:val="36"/>
          <w:sz w:val="44"/>
          <w:szCs w:val="44"/>
        </w:rPr>
      </w:pPr>
      <w:r>
        <w:rPr>
          <w:rFonts w:hint="eastAsia" w:ascii="仿宋" w:hAnsi="仿宋" w:eastAsia="仿宋"/>
          <w:sz w:val="24"/>
        </w:rPr>
        <w:br w:type="page"/>
      </w:r>
    </w:p>
    <w:p>
      <w:pPr>
        <w:spacing w:line="300" w:lineRule="auto"/>
        <w:rPr>
          <w:rFonts w:ascii="黑体" w:hAnsi="黑体" w:eastAsia="黑体"/>
          <w:b/>
          <w:kern w:val="36"/>
          <w:sz w:val="44"/>
          <w:szCs w:val="44"/>
        </w:rPr>
      </w:pPr>
    </w:p>
    <w:p>
      <w:pPr>
        <w:spacing w:line="300" w:lineRule="auto"/>
        <w:jc w:val="center"/>
        <w:rPr>
          <w:rFonts w:ascii="黑体" w:hAnsi="黑体" w:eastAsia="黑体"/>
          <w:b/>
          <w:kern w:val="36"/>
          <w:sz w:val="44"/>
          <w:szCs w:val="44"/>
        </w:rPr>
      </w:pPr>
      <w:r>
        <w:rPr>
          <w:rFonts w:hint="eastAsia" w:ascii="黑体" w:hAnsi="黑体" w:eastAsia="黑体"/>
          <w:b/>
          <w:kern w:val="36"/>
          <w:sz w:val="44"/>
          <w:szCs w:val="44"/>
        </w:rPr>
        <w:t>承诺申明</w:t>
      </w:r>
    </w:p>
    <w:p/>
    <w:p/>
    <w:p>
      <w:pPr>
        <w:spacing w:line="600" w:lineRule="auto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我单位申报的所有材料，均真实、完整，如有不实，愿承担相应的责任。</w:t>
      </w:r>
    </w:p>
    <w:p>
      <w:pPr>
        <w:spacing w:line="600" w:lineRule="auto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在不涉及商业机密的情况下，自愿与其他企业分享经验。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ind w:right="640" w:firstLine="4800" w:firstLineChars="15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公章：</w:t>
      </w:r>
    </w:p>
    <w:p>
      <w:pPr>
        <w:spacing w:line="560" w:lineRule="exact"/>
        <w:ind w:right="640" w:firstLine="5920" w:firstLineChars="185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hint="eastAsia" w:ascii="仿宋_GB2312" w:hAnsi="仿宋_GB2312" w:eastAsia="仿宋_GB2312" w:cs="仿宋_GB2312"/>
          <w:bCs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年   月   日</w:t>
      </w:r>
    </w:p>
    <w:tbl>
      <w:tblPr>
        <w:tblStyle w:val="5"/>
        <w:tblpPr w:leftFromText="180" w:rightFromText="180" w:vertAnchor="page" w:horzAnchor="margin" w:tblpY="1756"/>
        <w:tblW w:w="834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59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8349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一、企业基本信息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410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企业名称（全称）</w:t>
            </w:r>
          </w:p>
        </w:tc>
        <w:tc>
          <w:tcPr>
            <w:tcW w:w="5939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2410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是否属于央企</w:t>
            </w:r>
          </w:p>
        </w:tc>
        <w:tc>
          <w:tcPr>
            <w:tcW w:w="5939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□集团本部  □一级子公司  □二级及以下子公司</w:t>
            </w: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□非央企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企业类型（多选）</w:t>
            </w:r>
          </w:p>
        </w:tc>
        <w:tc>
          <w:tcPr>
            <w:tcW w:w="5939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 xml:space="preserve">□软件企业  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制造业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所属地区</w:t>
            </w:r>
          </w:p>
        </w:tc>
        <w:tc>
          <w:tcPr>
            <w:tcW w:w="5939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省份：         地市：         区县：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所属行业</w:t>
            </w:r>
          </w:p>
        </w:tc>
        <w:tc>
          <w:tcPr>
            <w:tcW w:w="5939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  <w:t>（按主营业务进行填写）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企业性质</w:t>
            </w:r>
          </w:p>
        </w:tc>
        <w:tc>
          <w:tcPr>
            <w:tcW w:w="5939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□私营企业 □港、澳、台投资企业 □外商投资企业</w:t>
            </w: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□股份制企业 □国有企业 □集体所有制企业</w:t>
            </w: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□中外合资 □其他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是否为上市公司</w:t>
            </w:r>
          </w:p>
        </w:tc>
        <w:tc>
          <w:tcPr>
            <w:tcW w:w="5939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□是      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统一社会信用代码</w:t>
            </w:r>
          </w:p>
        </w:tc>
        <w:tc>
          <w:tcPr>
            <w:tcW w:w="5939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人员规模（人）</w:t>
            </w:r>
          </w:p>
        </w:tc>
        <w:tc>
          <w:tcPr>
            <w:tcW w:w="5939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企业地址</w:t>
            </w:r>
          </w:p>
        </w:tc>
        <w:tc>
          <w:tcPr>
            <w:tcW w:w="5939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企业注册地址</w:t>
            </w:r>
          </w:p>
        </w:tc>
        <w:tc>
          <w:tcPr>
            <w:tcW w:w="5939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手机/座机</w:t>
            </w:r>
          </w:p>
        </w:tc>
        <w:tc>
          <w:tcPr>
            <w:tcW w:w="5939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官网</w:t>
            </w:r>
          </w:p>
        </w:tc>
        <w:tc>
          <w:tcPr>
            <w:tcW w:w="5939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  <w:t>（例如：http://www.example.com）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企业简介</w:t>
            </w:r>
          </w:p>
        </w:tc>
        <w:tc>
          <w:tcPr>
            <w:tcW w:w="5939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2" w:hRule="atLeast"/>
        </w:trPr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企业在质量、安全、信誉和社会责任等方面的情况说明</w:t>
            </w:r>
          </w:p>
        </w:tc>
        <w:tc>
          <w:tcPr>
            <w:tcW w:w="5939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Cs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楷体_GB2312" w:hAnsi="楷体_GB2312" w:eastAsia="楷体_GB2312" w:cs="楷体_GB2312"/>
                <w:spacing w:val="-4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pacing w:val="-4"/>
                <w:sz w:val="24"/>
              </w:rPr>
              <w:t>组织单位意见</w:t>
            </w:r>
          </w:p>
        </w:tc>
        <w:tc>
          <w:tcPr>
            <w:tcW w:w="5939" w:type="dxa"/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right"/>
              <w:rPr>
                <w:rFonts w:hint="eastAsia" w:ascii="楷体_GB2312" w:hAnsi="楷体_GB2312" w:eastAsia="楷体_GB2312" w:cs="楷体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right"/>
              <w:rPr>
                <w:rFonts w:hint="eastAsia" w:ascii="楷体_GB2312" w:hAnsi="楷体_GB2312" w:eastAsia="楷体_GB2312" w:cs="楷体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right"/>
              <w:rPr>
                <w:rFonts w:hint="eastAsia" w:ascii="楷体_GB2312" w:hAnsi="楷体_GB2312" w:eastAsia="楷体_GB2312" w:cs="楷体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right"/>
              <w:rPr>
                <w:rFonts w:hint="eastAsia" w:ascii="楷体_GB2312" w:hAnsi="楷体_GB2312" w:eastAsia="楷体_GB2312" w:cs="楷体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right"/>
              <w:rPr>
                <w:rFonts w:hint="eastAsia" w:ascii="楷体_GB2312" w:hAnsi="楷体_GB2312" w:eastAsia="楷体_GB2312" w:cs="楷体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right"/>
              <w:rPr>
                <w:rFonts w:hint="eastAsia" w:ascii="楷体_GB2312" w:hAnsi="楷体_GB2312" w:eastAsia="楷体_GB2312" w:cs="楷体_GB2312"/>
                <w:iCs/>
                <w:spacing w:val="-4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iCs/>
                <w:spacing w:val="-4"/>
                <w:sz w:val="24"/>
              </w:rPr>
              <w:t>（盖章）</w:t>
            </w:r>
          </w:p>
          <w:p>
            <w:pPr>
              <w:adjustRightInd w:val="0"/>
              <w:snapToGrid w:val="0"/>
              <w:spacing w:before="48" w:beforeLines="20" w:line="300" w:lineRule="exact"/>
              <w:jc w:val="right"/>
              <w:rPr>
                <w:rFonts w:hint="eastAsia" w:ascii="楷体_GB2312" w:hAnsi="楷体_GB2312" w:eastAsia="楷体_GB2312" w:cs="楷体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right"/>
              <w:rPr>
                <w:rFonts w:hint="eastAsia" w:ascii="楷体_GB2312" w:hAnsi="楷体_GB2312" w:eastAsia="楷体_GB2312" w:cs="楷体_GB2312"/>
                <w:iCs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right"/>
              <w:rPr>
                <w:rFonts w:hint="eastAsia" w:ascii="楷体_GB2312" w:hAnsi="楷体_GB2312" w:eastAsia="楷体_GB2312" w:cs="楷体_GB2312"/>
                <w:iCs/>
                <w:spacing w:val="-4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iCs/>
                <w:spacing w:val="-4"/>
                <w:sz w:val="24"/>
              </w:rPr>
              <w:t>年    月   日</w:t>
            </w:r>
          </w:p>
          <w:p>
            <w:pPr>
              <w:adjustRightInd w:val="0"/>
              <w:snapToGrid w:val="0"/>
              <w:spacing w:before="48" w:beforeLines="20" w:line="300" w:lineRule="exact"/>
              <w:jc w:val="right"/>
              <w:rPr>
                <w:rFonts w:hint="eastAsia" w:ascii="楷体_GB2312" w:hAnsi="楷体_GB2312" w:eastAsia="楷体_GB2312" w:cs="楷体_GB2312"/>
                <w:iCs/>
                <w:spacing w:val="-4"/>
                <w:sz w:val="24"/>
              </w:rPr>
            </w:pPr>
          </w:p>
        </w:tc>
      </w:tr>
    </w:tbl>
    <w:p>
      <w:pPr>
        <w:rPr>
          <w:rFonts w:eastAsiaTheme="minorEastAsia"/>
        </w:rPr>
      </w:pPr>
    </w:p>
    <w:p>
      <w:pPr>
        <w:rPr>
          <w:rFonts w:eastAsiaTheme="minorEastAsia"/>
        </w:rPr>
      </w:pPr>
      <w:r>
        <w:rPr>
          <w:rFonts w:eastAsiaTheme="minorEastAsia"/>
        </w:rPr>
        <w:br w:type="page"/>
      </w:r>
    </w:p>
    <w:p>
      <w:pPr>
        <w:rPr>
          <w:rFonts w:eastAsiaTheme="minorEastAsia"/>
        </w:rPr>
      </w:pPr>
    </w:p>
    <w:tbl>
      <w:tblPr>
        <w:tblStyle w:val="5"/>
        <w:tblpPr w:leftFromText="180" w:rightFromText="180" w:vertAnchor="text" w:horzAnchor="margin" w:tblpY="5"/>
        <w:tblW w:w="822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581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22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二、填报联系人信息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姓名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部门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职务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联系手机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固定电话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联系地址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联系邮箱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</w:p>
        </w:tc>
      </w:tr>
    </w:tbl>
    <w:p/>
    <w:p>
      <w:pPr>
        <w:rPr>
          <w:rFonts w:eastAsiaTheme="minorEastAsia"/>
        </w:rPr>
        <w:sectPr>
          <w:pgSz w:w="11900" w:h="16840"/>
          <w:pgMar w:top="1440" w:right="1800" w:bottom="1440" w:left="1800" w:header="851" w:footer="992" w:gutter="0"/>
          <w:cols w:space="720" w:num="1"/>
          <w:docGrid w:linePitch="286" w:charSpace="0"/>
        </w:sectPr>
      </w:pPr>
    </w:p>
    <w:p>
      <w:pPr>
        <w:rPr>
          <w:rFonts w:eastAsiaTheme="minorEastAsia"/>
        </w:rPr>
      </w:pPr>
    </w:p>
    <w:tbl>
      <w:tblPr>
        <w:tblStyle w:val="5"/>
        <w:tblW w:w="8222" w:type="dxa"/>
        <w:tblInd w:w="-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977"/>
        <w:gridCol w:w="396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</w:trPr>
        <w:tc>
          <w:tcPr>
            <w:tcW w:w="8222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三、企业核心竞争力指标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1276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经营规模指标</w:t>
            </w:r>
          </w:p>
        </w:tc>
        <w:tc>
          <w:tcPr>
            <w:tcW w:w="297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经营收入总额（万元）</w:t>
            </w:r>
          </w:p>
        </w:tc>
        <w:tc>
          <w:tcPr>
            <w:tcW w:w="3969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76" w:type="dxa"/>
            <w:vMerge w:val="continue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年利润总额（万元）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76" w:type="dxa"/>
            <w:vMerge w:val="continue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资产总额（万元）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76" w:type="dxa"/>
            <w:vMerge w:val="continue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员工总数（万元）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76" w:type="dxa"/>
            <w:vMerge w:val="continue"/>
            <w:tcBorders>
              <w:bottom w:val="single" w:color="auto" w:sz="4" w:space="0"/>
            </w:tcBorders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工业APP数量(件)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76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技术创新成效指标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发明专利数量(件)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76" w:type="dxa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软件著作权数量(件)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76" w:type="dxa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工业APP研发人员比重（%）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76" w:type="dxa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上一财年工业APP研发费用投入（万元）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76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业绩成长指标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近三年工业APP总收入平均增长率（%）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76" w:type="dxa"/>
            <w:vMerge w:val="continue"/>
            <w:tcBorders>
              <w:right w:val="single" w:color="auto" w:sz="4" w:space="0"/>
            </w:tcBorders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近三年工业APP产品年利润总额平均增长率（%）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76" w:type="dxa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近三年工业APP研发团队规模平均增长率（%）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76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创新能力指标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企业是否获得融资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□尚未获得融资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□获得天使轮融资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□获得A轮融资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□获得B轮及以上融资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已上市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其他: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76" w:type="dxa"/>
            <w:vMerge w:val="continue"/>
            <w:tcBorders>
              <w:right w:val="single" w:color="auto" w:sz="4" w:space="0"/>
            </w:tcBorders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企业是否获得创新创业项目资助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□尚未获得资助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□国家级资助：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u w:val="single"/>
              </w:rPr>
              <w:t xml:space="preserve">       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□省级资助：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u w:val="single"/>
              </w:rPr>
              <w:t xml:space="preserve">       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□市级资助：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u w:val="single"/>
              </w:rPr>
              <w:t xml:space="preserve">       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□其它资助：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276" w:type="dxa"/>
            <w:vMerge w:val="continue"/>
            <w:tcBorders>
              <w:right w:val="single" w:color="auto" w:sz="4" w:space="0"/>
            </w:tcBorders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工业APP大赛获奖情况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76" w:type="dxa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关键业务环节工业技术软件化率（%）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研发设计：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生产制造：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运营维护：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经营管理：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整体工业技术软件化率：</w:t>
            </w:r>
          </w:p>
        </w:tc>
      </w:tr>
    </w:tbl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填报说明：</w:t>
      </w:r>
    </w:p>
    <w:p>
      <w:pPr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1.关键业务环节工业技术软件化率计算方式：</w:t>
      </w: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工业技术软件化率=实现工业技术软件化的业务环节数/业务环节总数*100%</w:t>
      </w: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统计说明如下：</w:t>
      </w: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业务环节数：各行业对业务环节的定义和划分粒度存在一定差异，类似的概念包括：业务环节数、工艺数、流程数等，一般由行业标准或企业标准进行规定，可根据企业具体情况进行梳理。应至少涵盖：对成品的质量、性能、功能、寿命、可靠性及成本等有直接影响环节；产品和服务重要质量特性形成的环节；工艺复杂，质量容易波动，对工人技艺要求高或总是发生问题较多的环节。</w:t>
      </w:r>
    </w:p>
    <w:p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实现工业技术软件化：针对具体的业务环节、工艺指标、流程，分析其核心技术是否是通过软件的方式作用于工业活动。实现工业技术软件化，既包括直接封装成工业APP的方式，也包括形成供软件使用的某种算法、模型的方式。</w:t>
      </w: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  <w:sectPr>
          <w:pgSz w:w="11900" w:h="16840"/>
          <w:pgMar w:top="1440" w:right="1800" w:bottom="1440" w:left="1800" w:header="851" w:footer="992" w:gutter="0"/>
          <w:cols w:space="720" w:num="1"/>
          <w:docGrid w:linePitch="286" w:charSpace="0"/>
        </w:sectPr>
      </w:pPr>
    </w:p>
    <w:tbl>
      <w:tblPr>
        <w:tblStyle w:val="5"/>
        <w:tblW w:w="9390" w:type="dxa"/>
        <w:tblInd w:w="-58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712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39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四、工业互联网APP应用解决方案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2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应用解决方案名称</w:t>
            </w:r>
          </w:p>
        </w:tc>
        <w:tc>
          <w:tcPr>
            <w:tcW w:w="7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</w:trPr>
        <w:tc>
          <w:tcPr>
            <w:tcW w:w="22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应用解决方案覆盖的业务环节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（可多选）</w:t>
            </w:r>
          </w:p>
        </w:tc>
        <w:tc>
          <w:tcPr>
            <w:tcW w:w="7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研发设计：</w:t>
            </w: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 xml:space="preserve">□产品设计 □工艺流程设计 □工艺过程控制设计 </w:t>
            </w: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□产线设计 □试制试验 □其他</w:t>
            </w: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生产制造：</w:t>
            </w: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 xml:space="preserve">□生产计划管理 □生产作业管理 □物料配送管理 </w:t>
            </w: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□设备工具管理 □质量检测类 □其他</w:t>
            </w: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运营维护：</w:t>
            </w: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 xml:space="preserve">□生产监控 □仓储与物流管理 □质量管理 □能源管理 </w:t>
            </w: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□故障检测与预警分析 □其他</w:t>
            </w: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经营管理：</w:t>
            </w: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 xml:space="preserve">□采购管理 □供应链管理 □产业链协同 □风险管控 </w:t>
            </w: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□销售管理 □物流配送管理 □售后服务 □其他</w:t>
            </w: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□其他：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u w:val="single"/>
              </w:rPr>
              <w:t xml:space="preserve">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2" w:hRule="atLeast"/>
        </w:trPr>
        <w:tc>
          <w:tcPr>
            <w:tcW w:w="22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b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应用解决方案包含工业互联网APP的知识产权归属说明</w:t>
            </w:r>
          </w:p>
        </w:tc>
        <w:tc>
          <w:tcPr>
            <w:tcW w:w="7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  <w:t>应用解决方案内可包含多个工业互联网APP，请简要描述所包含工业互联网APP的知识产权归属情况，例如自研发、购买、购买基础上自研发等。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8" w:hRule="atLeast"/>
        </w:trPr>
        <w:tc>
          <w:tcPr>
            <w:tcW w:w="22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应用解决方案包含工业互联网APP的重要时间节点</w:t>
            </w:r>
          </w:p>
        </w:tc>
        <w:tc>
          <w:tcPr>
            <w:tcW w:w="7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  <w:t>简要描述解决方案内工业互联网APP的使用情况大事记，包括项目立项、项目建设、项目应用及当前应用状况等信息。</w:t>
            </w: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jc w:val="lef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9" w:hRule="atLeast"/>
        </w:trPr>
        <w:tc>
          <w:tcPr>
            <w:tcW w:w="22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应用成效</w:t>
            </w:r>
          </w:p>
        </w:tc>
        <w:tc>
          <w:tcPr>
            <w:tcW w:w="7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  <w:t>用数据说明工业互联网APP应用解决方案已经取得的应用成效。</w:t>
            </w: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9" w:hRule="atLeast"/>
        </w:trPr>
        <w:tc>
          <w:tcPr>
            <w:tcW w:w="22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创新性经验</w:t>
            </w:r>
          </w:p>
        </w:tc>
        <w:tc>
          <w:tcPr>
            <w:tcW w:w="7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  <w:t>说明在工业互联网APP应用解决方案的应用，企业在研发设计、生产制造、运营维护和经营管理等方面取得的创新性经验。</w:t>
            </w: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23" w:hRule="atLeast"/>
        </w:trPr>
        <w:tc>
          <w:tcPr>
            <w:tcW w:w="226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before="48" w:beforeLines="20"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典型经验案例</w:t>
            </w:r>
          </w:p>
        </w:tc>
        <w:tc>
          <w:tcPr>
            <w:tcW w:w="712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  <w:t>典型经验案例按以下五部分展开：</w:t>
            </w: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  <w:t>1.名称（命名采用“‘企业名称’+‘应用解决方案’”的方式）。</w:t>
            </w: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  <w:t>2.概述（简要说明工业互联网APP及应用解决方案的基本情况）。</w:t>
            </w: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  <w:t>3.背景（说明原来的状态和希望解决的问题）。</w:t>
            </w: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  <w:t>4.典型经验案例。</w:t>
            </w: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  <w:t>5.实践及效果（说明典型经验案例在实践中如何应用，用实例和数据说明带来的变化和效果）。</w:t>
            </w: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  <w:t>典型经验案例要求：</w:t>
            </w: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  <w:t>1.案例不是若干项工作或APP功能的罗列。</w:t>
            </w: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  <w:t>2.案例可图文并茂，便于经验的传播和推广。</w:t>
            </w: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  <w:t>3.案例字数在3000-5000字之间。</w:t>
            </w:r>
          </w:p>
          <w:p>
            <w:pPr>
              <w:adjustRightInd w:val="0"/>
              <w:snapToGrid w:val="0"/>
              <w:spacing w:before="48" w:beforeLines="20" w:line="300" w:lineRule="exact"/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/>
                <w:spacing w:val="-4"/>
                <w:sz w:val="24"/>
              </w:rPr>
              <w:t>4.案例可单独文件形式撰写。</w:t>
            </w:r>
          </w:p>
        </w:tc>
      </w:tr>
    </w:tbl>
    <w:p>
      <w:pPr>
        <w:adjustRightInd w:val="0"/>
        <w:snapToGrid w:val="0"/>
        <w:spacing w:before="48" w:beforeLines="20" w:line="300" w:lineRule="exact"/>
        <w:ind w:left="101" w:leftChars="-295" w:hanging="720" w:hangingChars="309"/>
        <w:jc w:val="left"/>
        <w:rPr>
          <w:rFonts w:hint="eastAsia" w:ascii="仿宋_GB2312" w:hAnsi="仿宋_GB2312" w:eastAsia="仿宋_GB2312" w:cs="仿宋_GB2312"/>
          <w:b/>
          <w:bCs/>
          <w:spacing w:val="-4"/>
          <w:sz w:val="24"/>
          <w:szCs w:val="22"/>
        </w:rPr>
      </w:pPr>
      <w:r>
        <w:rPr>
          <w:rFonts w:hint="eastAsia" w:ascii="仿宋_GB2312" w:hAnsi="仿宋_GB2312" w:eastAsia="仿宋_GB2312" w:cs="仿宋_GB2312"/>
          <w:b/>
          <w:bCs/>
          <w:spacing w:val="-4"/>
          <w:sz w:val="24"/>
        </w:rPr>
        <w:t>填报说明：</w:t>
      </w:r>
    </w:p>
    <w:p>
      <w:pPr>
        <w:adjustRightInd w:val="0"/>
        <w:snapToGrid w:val="0"/>
        <w:spacing w:before="48" w:beforeLines="20" w:line="300" w:lineRule="exact"/>
        <w:ind w:left="117" w:leftChars="-295" w:hanging="736" w:hangingChars="316"/>
        <w:jc w:val="left"/>
        <w:rPr>
          <w:rFonts w:hint="eastAsia" w:ascii="仿宋_GB2312" w:hAnsi="仿宋_GB2312" w:eastAsia="仿宋_GB2312" w:cs="仿宋_GB2312"/>
          <w:b/>
          <w:bCs/>
          <w:spacing w:val="-4"/>
          <w:sz w:val="24"/>
        </w:rPr>
      </w:pPr>
      <w:r>
        <w:rPr>
          <w:rFonts w:hint="eastAsia" w:ascii="仿宋_GB2312" w:hAnsi="仿宋_GB2312" w:eastAsia="仿宋_GB2312" w:cs="仿宋_GB2312"/>
          <w:b/>
          <w:bCs/>
          <w:spacing w:val="-4"/>
          <w:sz w:val="24"/>
        </w:rPr>
        <w:t>1.工业互联网APP按知识来源分类说明：</w:t>
      </w:r>
    </w:p>
    <w:p>
      <w:pPr>
        <w:numPr>
          <w:ilvl w:val="0"/>
          <w:numId w:val="1"/>
        </w:numPr>
        <w:adjustRightInd w:val="0"/>
        <w:snapToGrid w:val="0"/>
        <w:spacing w:before="48" w:beforeLines="20" w:line="300" w:lineRule="exact"/>
        <w:ind w:left="-194" w:leftChars="-95" w:hanging="5"/>
        <w:jc w:val="left"/>
        <w:rPr>
          <w:rFonts w:hint="eastAsia" w:ascii="仿宋_GB2312" w:hAnsi="仿宋_GB2312" w:eastAsia="仿宋_GB2312" w:cs="仿宋_GB2312"/>
          <w:spacing w:val="-4"/>
          <w:sz w:val="24"/>
        </w:rPr>
      </w:pPr>
      <w:r>
        <w:rPr>
          <w:rFonts w:hint="eastAsia" w:ascii="仿宋_GB2312" w:hAnsi="仿宋_GB2312" w:eastAsia="仿宋_GB2312" w:cs="仿宋_GB2312"/>
          <w:spacing w:val="-4"/>
          <w:sz w:val="24"/>
        </w:rPr>
        <w:t>业务信息化类。面向企业各实际业务场景，将业务管理规范、业务流程管控、业务信息流转等以信息化解决手段封装为工业互联网APP，实现各项业务的信息化管理。</w:t>
      </w:r>
    </w:p>
    <w:p>
      <w:pPr>
        <w:numPr>
          <w:ilvl w:val="0"/>
          <w:numId w:val="1"/>
        </w:numPr>
        <w:adjustRightInd w:val="0"/>
        <w:snapToGrid w:val="0"/>
        <w:spacing w:before="48" w:beforeLines="20" w:line="300" w:lineRule="exact"/>
        <w:ind w:left="-192" w:leftChars="-94" w:hanging="5"/>
        <w:jc w:val="left"/>
        <w:rPr>
          <w:rFonts w:hint="eastAsia" w:ascii="仿宋_GB2312" w:hAnsi="仿宋_GB2312" w:eastAsia="仿宋_GB2312" w:cs="仿宋_GB2312"/>
          <w:spacing w:val="-4"/>
          <w:sz w:val="24"/>
        </w:rPr>
      </w:pPr>
      <w:r>
        <w:rPr>
          <w:rFonts w:hint="eastAsia" w:ascii="仿宋_GB2312" w:hAnsi="仿宋_GB2312" w:eastAsia="仿宋_GB2312" w:cs="仿宋_GB2312"/>
          <w:spacing w:val="-4"/>
          <w:sz w:val="24"/>
        </w:rPr>
        <w:t>数据分析类。基于企业各业务环节中所产生数据的集成，将数据挖掘、数据分析、数据处理等方法封装为工业互联网APP，实现以数据支撑业务管理与决策优化。</w:t>
      </w:r>
    </w:p>
    <w:p>
      <w:pPr>
        <w:numPr>
          <w:ilvl w:val="0"/>
          <w:numId w:val="1"/>
        </w:numPr>
        <w:adjustRightInd w:val="0"/>
        <w:snapToGrid w:val="0"/>
        <w:spacing w:before="48" w:beforeLines="20" w:line="300" w:lineRule="exact"/>
        <w:ind w:left="-192" w:leftChars="-94" w:hanging="5"/>
        <w:jc w:val="left"/>
        <w:rPr>
          <w:rFonts w:hint="eastAsia" w:ascii="仿宋_GB2312" w:hAnsi="仿宋_GB2312" w:eastAsia="仿宋_GB2312" w:cs="仿宋_GB2312"/>
          <w:spacing w:val="-4"/>
          <w:sz w:val="24"/>
        </w:rPr>
      </w:pPr>
      <w:r>
        <w:rPr>
          <w:rFonts w:hint="eastAsia" w:ascii="仿宋_GB2312" w:hAnsi="仿宋_GB2312" w:eastAsia="仿宋_GB2312" w:cs="仿宋_GB2312"/>
          <w:spacing w:val="-4"/>
          <w:sz w:val="24"/>
        </w:rPr>
        <w:t>知识建模类。基于特定应用场景下归纳提炼的工业经验或机理，通过建立问题求解模型形成工业互联网APP，实现知识的复用和传承。</w:t>
      </w:r>
    </w:p>
    <w:p>
      <w:pPr>
        <w:numPr>
          <w:ilvl w:val="0"/>
          <w:numId w:val="1"/>
        </w:numPr>
        <w:adjustRightInd w:val="0"/>
        <w:snapToGrid w:val="0"/>
        <w:spacing w:before="48" w:beforeLines="20" w:line="300" w:lineRule="exact"/>
        <w:ind w:left="-194" w:leftChars="-95" w:hanging="5"/>
        <w:jc w:val="left"/>
        <w:rPr>
          <w:rFonts w:hint="eastAsia" w:ascii="仿宋_GB2312" w:hAnsi="仿宋_GB2312" w:eastAsia="仿宋_GB2312" w:cs="仿宋_GB2312"/>
          <w:spacing w:val="-4"/>
          <w:sz w:val="24"/>
        </w:rPr>
      </w:pPr>
      <w:r>
        <w:rPr>
          <w:rFonts w:hint="eastAsia" w:ascii="仿宋_GB2312" w:hAnsi="仿宋_GB2312" w:eastAsia="仿宋_GB2312" w:cs="仿宋_GB2312"/>
          <w:spacing w:val="-4"/>
          <w:sz w:val="24"/>
        </w:rPr>
        <w:t>其他。</w:t>
      </w:r>
    </w:p>
    <w:p/>
    <w:sectPr>
      <w:pgSz w:w="11900" w:h="16840"/>
      <w:pgMar w:top="1440" w:right="1800" w:bottom="1440" w:left="1800" w:header="851" w:footer="992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4690110</wp:posOffset>
              </wp:positionH>
              <wp:positionV relativeFrom="paragraph">
                <wp:posOffset>3810</wp:posOffset>
              </wp:positionV>
              <wp:extent cx="580390" cy="28321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0390" cy="2832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69.3pt;margin-top:0.3pt;height:22.3pt;width:45.7pt;mso-position-horizontal-relative:margin;z-index:251658240;mso-width-relative:page;mso-height-relative:page;" filled="f" stroked="f" coordsize="21600,21600" o:gfxdata="UEsDBAoAAAAAAIdO4kAAAAAAAAAAAAAAAAAEAAAAZHJzL1BLAwQUAAAACACHTuJAycbXmdcAAAAH&#10;AQAADwAAAGRycy9kb3ducmV2LnhtbE2PzU7DMBCE70i8g7VI3KidFkoUsumBnxtQKCDBzYlNEhGv&#10;I9tJy9uznOAy0mpGM9+Wm4MbxGxD7D0hZAsFwlLjTU8twuvL3VkOIiZNRg+eLMK3jbCpjo9KXRi/&#10;p2c771IruIRioRG6lMZCyth01um48KMl9j59cDrxGVppgt5zuRvkUqm1dLonXuj0aK8723ztJocw&#10;vMdwX6v0Md+0D+lpK6e32+wR8fQkU1cgkj2kvzD84jM6VMxU+4lMFAPC5SpfcxSBle18pfi1GuH8&#10;YgmyKuV//uoHUEsDBBQAAAAIAIdO4kCAme5cGAIAABMEAAAOAAAAZHJzL2Uyb0RvYy54bWytU82O&#10;0zAQviPxDpbvNGmrXS1V01XZVRFSxa5UEGfXsRtLtsfYbpPyAPAGnLhw57n6HIydpouAE+Iymcz/&#10;fPN5ftsZTQ7CBwW2ouNRSYmwHGpldxV9/2714oaSEJmtmQYrKnoUgd4unj+bt24mJtCAroUnWMSG&#10;Wesq2sToZkUReCMMCyNwwqJTgjcs4q/fFbVnLVY3upiU5XXRgq+dBy5CQOt976SLXF9KweODlEFE&#10;oiuKs8UsfZbbJIvFnM12nrlG8fMY7B+mMExZbHopdc8iI3uv/ihlFPcQQMYRB1OAlIqLvANuMy5/&#10;22bTMCfyLghOcBeYwv8ry98eHj1RNd6OEssMnuj09cvp24/T989knOBpXZhh1MZhXOxeQZdCz/aA&#10;xrR1J71JX9yHoB+BPl7AFV0kHI1XN+X0JXo4uiY308k4g188JTsf4msBhiSloh5vlyFlh3WI2BBD&#10;h5DUy8JKaZ3vpy1pK3o9vSpzwsWDGdpiYlqhHzVpsdt25/m3UB9xLQ89L4LjK4XN1yzER+aRCDgv&#10;kjs+oJAasAmcNUoa8J/+Zk/xeB/0UtIisSoaPu6ZF5ToNxYvl1g4KH5QtoNi9+YOkKt4DZwmq5jg&#10;ox5U6cF8QM4vUxd0McuxV0XjoN7Fnt74ZrhYLnPQ3nm1a/oE5J1jcW03jqc2PZTLfQSpMsoJoh6X&#10;M3LIvAz++ZUkav/6n6Oe3vLiJ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MnG15nXAAAABwEAAA8A&#10;AAAAAAAAAQAgAAAAIgAAAGRycy9kb3ducmV2LnhtbFBLAQIUABQAAAAIAIdO4kCAme5cGAIAABME&#10;AAAOAAAAAAAAAAEAIAAAACYBAABkcnMvZTJvRG9jLnhtbFBLBQYAAAAABgAGAFkBAACw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1D4A80"/>
    <w:multiLevelType w:val="singleLevel"/>
    <w:tmpl w:val="5C1D4A80"/>
    <w:lvl w:ilvl="0" w:tentative="0">
      <w:start w:val="1"/>
      <w:numFmt w:val="lowerLetter"/>
      <w:suff w:val="space"/>
      <w:lvlText w:val="%1)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D0F7C90"/>
    <w:rsid w:val="29801465"/>
    <w:rsid w:val="39E569CD"/>
    <w:rsid w:val="3D385754"/>
    <w:rsid w:val="55670A24"/>
    <w:rsid w:val="64CA63B9"/>
    <w:rsid w:val="67B506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hp</cp:lastModifiedBy>
  <cp:lastPrinted>2019-12-20T07:14:00Z</cp:lastPrinted>
  <dcterms:modified xsi:type="dcterms:W3CDTF">2019-12-20T07:48:53Z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